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108" w:type="dxa"/>
        <w:tblLook w:val="04A0"/>
      </w:tblPr>
      <w:tblGrid>
        <w:gridCol w:w="3724"/>
        <w:gridCol w:w="5336"/>
      </w:tblGrid>
      <w:tr w:rsidR="00D54C2A" w:rsidRPr="00D54C2A" w:rsidTr="00D54C2A">
        <w:trPr>
          <w:trHeight w:val="22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2A" w:rsidRPr="00D54C2A" w:rsidRDefault="00D54C2A" w:rsidP="00D54C2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1.1</w:t>
            </w:r>
          </w:p>
        </w:tc>
      </w:tr>
      <w:tr w:rsidR="00D54C2A" w:rsidRPr="00D54C2A" w:rsidTr="00D54C2A">
        <w:trPr>
          <w:trHeight w:val="450"/>
        </w:trPr>
        <w:tc>
          <w:tcPr>
            <w:tcW w:w="906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по стандартам раскрытия информации органом тарифного регулирования</w:t>
            </w:r>
          </w:p>
        </w:tc>
      </w:tr>
      <w:tr w:rsidR="00D54C2A" w:rsidRPr="00D54C2A" w:rsidTr="00D54C2A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color w:val="993300"/>
                <w:sz w:val="6"/>
                <w:szCs w:val="6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D54C2A" w:rsidRPr="00D54C2A" w:rsidTr="00D54C2A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предоставления информации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26.11.2018</w:t>
            </w:r>
            <w:bookmarkEnd w:id="1"/>
          </w:p>
        </w:tc>
      </w:tr>
      <w:tr w:rsidR="00D54C2A" w:rsidRPr="00D54C2A" w:rsidTr="00D54C2A">
        <w:trPr>
          <w:trHeight w:val="12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F11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2"/>
          </w:p>
        </w:tc>
      </w:tr>
      <w:tr w:rsidR="00D54C2A" w:rsidRPr="00D54C2A" w:rsidTr="00D54C2A">
        <w:trPr>
          <w:trHeight w:val="60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righ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 w:rsidRPr="00D54C2A">
              <w:rPr>
                <w:rFonts w:ascii="3" w:eastAsia="Times New Roman" w:hAnsi="3" w:cs="Tahoma"/>
                <w:sz w:val="6"/>
                <w:szCs w:val="6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60"/>
              <w:jc w:val="left"/>
              <w:rPr>
                <w:rFonts w:ascii="3" w:eastAsia="Times New Roman" w:hAnsi="3" w:cs="Tahoma"/>
                <w:sz w:val="6"/>
                <w:szCs w:val="6"/>
                <w:lang w:eastAsia="ru-RU"/>
              </w:rPr>
            </w:pPr>
            <w:r>
              <w:rPr>
                <w:rFonts w:ascii="3" w:eastAsia="Times New Roman" w:hAnsi="3" w:cs="Tahoma"/>
                <w:noProof/>
                <w:sz w:val="6"/>
                <w:szCs w:val="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3381375" cy="295275"/>
                  <wp:effectExtent l="0" t="0" r="0" b="0"/>
                  <wp:wrapNone/>
                  <wp:docPr id="2" name="cmdOrgChoice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19375" y="1562100"/>
                            <a:ext cx="3381375" cy="285750"/>
                            <a:chOff x="2619375" y="1562100"/>
                            <a:chExt cx="3381375" cy="285750"/>
                          </a:xfrm>
                        </a:grpSpPr>
                        <a:sp>
                          <a:nvSpPr>
                            <a:cNvPr id="11" name="cmdOrgChoice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619375" y="156210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регулятора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регулирования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4"/>
            <w:bookmarkStart w:id="4" w:name="RANGE!F12"/>
            <w:bookmarkEnd w:id="4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Служба по тарифам Иркутской области</w:t>
            </w:r>
            <w:bookmarkEnd w:id="3"/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Сферы деятельности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5" w:name="RANGE!F16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5"/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6" w:name="RANGE!F17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  <w:bookmarkEnd w:id="6"/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7" w:name="RANGE!F18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7"/>
          </w:p>
        </w:tc>
      </w:tr>
      <w:tr w:rsidR="00D54C2A" w:rsidRPr="00D54C2A" w:rsidTr="00D54C2A">
        <w:trPr>
          <w:trHeight w:val="54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заполнение формы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0:F23"/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Пнева</w:t>
            </w:r>
            <w:proofErr w:type="spellEnd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Владимировна</w:t>
            </w:r>
            <w:bookmarkEnd w:id="8"/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специалист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Контактный телефон</w:t>
            </w:r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8(39554)23293</w:t>
            </w:r>
          </w:p>
        </w:tc>
      </w:tr>
      <w:tr w:rsidR="00D54C2A" w:rsidRPr="00D54C2A" w:rsidTr="00D54C2A">
        <w:trPr>
          <w:trHeight w:val="450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kimillteyskoemo@mail.ru</w:t>
            </w:r>
          </w:p>
        </w:tc>
      </w:tr>
      <w:tr w:rsidR="00D54C2A" w:rsidRPr="00D54C2A" w:rsidTr="00D54C2A">
        <w:trPr>
          <w:trHeight w:val="615"/>
        </w:trPr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553BD" w:rsidRDefault="000553BD"/>
    <w:p w:rsidR="00D54C2A" w:rsidRDefault="00D54C2A"/>
    <w:p w:rsidR="00D54C2A" w:rsidRDefault="00D54C2A"/>
    <w:tbl>
      <w:tblPr>
        <w:tblW w:w="19524" w:type="dxa"/>
        <w:tblInd w:w="-72" w:type="dxa"/>
        <w:tblLook w:val="04A0"/>
      </w:tblPr>
      <w:tblGrid>
        <w:gridCol w:w="688"/>
        <w:gridCol w:w="5518"/>
        <w:gridCol w:w="8522"/>
        <w:gridCol w:w="4796"/>
      </w:tblGrid>
      <w:tr w:rsidR="00D54C2A" w:rsidRPr="00D54C2A" w:rsidTr="00D54C2A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4C2A" w:rsidRPr="00D54C2A" w:rsidRDefault="00D54C2A" w:rsidP="00D54C2A">
            <w:pPr>
              <w:ind w:firstLineChars="100" w:firstLine="200"/>
              <w:jc w:val="lef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Информация, раскрываемая органом тарифного регулирования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36"/>
                <w:szCs w:val="36"/>
                <w:lang w:eastAsia="ru-RU"/>
              </w:rPr>
            </w:pPr>
          </w:p>
        </w:tc>
      </w:tr>
      <w:tr w:rsidR="00D54C2A" w:rsidRPr="00D54C2A" w:rsidTr="00D54C2A">
        <w:trPr>
          <w:trHeight w:val="120"/>
        </w:trPr>
        <w:tc>
          <w:tcPr>
            <w:tcW w:w="19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b/>
                <w:bCs/>
                <w:sz w:val="6"/>
                <w:szCs w:val="6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1472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479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479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240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</w:tr>
      <w:tr w:rsidR="00D54C2A" w:rsidRPr="00D54C2A" w:rsidTr="00D54C2A">
        <w:trPr>
          <w:trHeight w:val="675"/>
        </w:trPr>
        <w:tc>
          <w:tcPr>
            <w:tcW w:w="6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органа тарифного регулирования, фамилия, имя и отчество руководителя</w:t>
            </w:r>
          </w:p>
        </w:tc>
        <w:bookmarkStart w:id="9" w:name="RANGE!F10"/>
        <w:tc>
          <w:tcPr>
            <w:tcW w:w="852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"RANGE!F10"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9"/>
          </w:p>
        </w:tc>
        <w:tc>
          <w:tcPr>
            <w:tcW w:w="479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675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организаций, в отношении которых орган тарифного регулирования осуществляет государственное регулирование цен (тарифов)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0" w:name="RANGE!F13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"RANGE!F13"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0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90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Дата, время и место проведения заседания правления (коллегии) органа тарифного регулирования, на котором планируется рассмотрение дел по вопросам установления тарифов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None/>
                  <wp:docPr id="3" name="shCalendar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9775" y="3448050"/>
                            <a:ext cx="190500" cy="190500"/>
                            <a:chOff x="9629775" y="3448050"/>
                            <a:chExt cx="190500" cy="190500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211023" cy="178845"/>
                              <a:chOff x="0" y="0"/>
                              <a:chExt cx="211023" cy="178845"/>
                            </a:xfrm>
                          </a:grpSpPr>
                          <a:sp>
                            <a:nvSpPr>
                              <a:cNvPr id="339017" name="shCalendar_bck" hidden="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11023" cy="178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3175" algn="ctr">
                                <a:solidFill>
                                  <a:srgbClr val="595959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/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pic>
                            <a:nvPicPr>
                              <a:cNvPr id="339018" name="shCalendar_1" descr="CalendarSmall.bmp" hidden="1"/>
                              <a:cNvPicPr preferRelativeResize="0">
                                <a:picLocks/>
                              </a:cNvPicPr>
                            </a:nvPicPr>
                            <a:blipFill>
                              <a:blip r:embed="rId4">
                                <a:grayscl/>
                                <a:extLst>
                                  <a:ext uri="{28A0092B-C50C-407E-A947-70E740481C1C}">
                                    <a14:useLocalDpi xmlns="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56494" y="50189"/>
                                <a:ext cx="98171" cy="9147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a:spPr>
                          </a:pic>
                        </a:grpSp>
                      </lc:lockedCanvas>
                    </a:graphicData>
                  </a:graphic>
                </wp:anchor>
              </w:drawing>
            </w: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hyperlink r:id="rId5" w:anchor="RANGE!F17" w:tooltip="Кликните по гиперссылке, чтобы перейти по ней или отредактировать её" w:history="1">
              <w:r w:rsidRPr="00D54C2A">
                <w:rPr>
                  <w:rFonts w:ascii="Tahoma" w:eastAsia="Times New Roman" w:hAnsi="Tahoma" w:cs="Tahoma"/>
                  <w:color w:val="333399"/>
                  <w:sz w:val="18"/>
                  <w:u w:val="single"/>
                  <w:lang w:eastAsia="ru-RU"/>
                </w:rPr>
                <w:t>http://кимильтей.рф/</w:t>
              </w:r>
            </w:hyperlink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Принятые органом тарифного регулирования решения об установлении предельных тарифов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0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1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2" w:name="RANGE!F21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"RANGE!F21"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2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90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Протокол заседания правления (коллегии) органа тарифного регулирования, оформленный в соответствии с требованиями, установленными правилами регулирования тарифов, утверждаемыми Правительством Российской Федерации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24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4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Водоснабжение и водоотведение</w:t>
            </w:r>
          </w:p>
        </w:tc>
        <w:bookmarkStart w:id="15" w:name="RANGE!F25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"RANGE!F25"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5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26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6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675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Контактные данные органа тарифного регулирования (место нахождения, почтовый адрес, справочные телефоны, адрес электронной почты, наименование официального сайта)</w:t>
            </w:r>
          </w:p>
        </w:tc>
        <w:bookmarkStart w:id="17" w:name="RANGE!F27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"RANGE!F27"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7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раскрываемая регулируемыми организациями в информационно-аналитической системе</w:t>
            </w:r>
          </w:p>
        </w:tc>
        <w:bookmarkStart w:id="18" w:name="RANGE!F28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"RANGE!F28"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http://кимильтей.рф/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18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Архив опубликованной информации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9" w:name="RANGE!F30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19"/>
          </w:p>
        </w:tc>
        <w:tc>
          <w:tcPr>
            <w:tcW w:w="479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ссылка на страницу официального сайта органа тарифного регулирования в сети "Интернет"</w:t>
            </w: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</w:t>
            </w:r>
          </w:p>
        </w:tc>
        <w:bookmarkStart w:id="20" w:name="RANGE!F31"/>
        <w:bookmarkStart w:id="21" w:name="RANGE!F31:F33"/>
        <w:bookmarkEnd w:id="21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"RANGE!F31"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http://irkobl.ru/sites/sti/Raskrytie_informacii/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0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Горячее водоснабжение</w:t>
            </w:r>
          </w:p>
        </w:tc>
        <w:bookmarkStart w:id="22" w:name="RANGE!F32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"RANGE!F32"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2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Водоотведение</w:t>
            </w:r>
          </w:p>
        </w:tc>
        <w:bookmarkStart w:id="23" w:name="RANGE!F33"/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begin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instrText xml:space="preserve"> HYPERLINK "file:///D:\\Документы\\Зубакова\\Экспертиза%20тарифов%20Кимильтей\\FAS.JKH.OPEN.INFO.REG(v1.1).xlsb" \l "RANGE!F33" \o "Кликните по гиперссылке, чтобы перейти по ней или отредактировать её" </w:instrTex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separate"/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u w:val="single"/>
                <w:lang w:eastAsia="ru-RU"/>
              </w:rPr>
              <w:t>нет</w:t>
            </w:r>
            <w:r w:rsidRPr="00D54C2A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fldChar w:fldCharType="end"/>
            </w:r>
            <w:bookmarkEnd w:id="23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бытовыми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4" w:name="RANGE!F34:F35"/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  <w:bookmarkEnd w:id="24"/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D54C2A" w:rsidRPr="00D54C2A" w:rsidTr="00D54C2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D54C2A" w:rsidRPr="00D54C2A" w:rsidRDefault="00D54C2A" w:rsidP="00D54C2A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551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54C2A" w:rsidRPr="00D54C2A" w:rsidRDefault="00D54C2A" w:rsidP="00D54C2A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852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noWrap/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4C2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9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4C2A" w:rsidRPr="00D54C2A" w:rsidRDefault="00D54C2A" w:rsidP="00D54C2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D54C2A" w:rsidRDefault="00D54C2A"/>
    <w:sectPr w:rsidR="00D54C2A" w:rsidSect="00D54C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C2A"/>
    <w:rsid w:val="000553BD"/>
    <w:rsid w:val="00A01CE1"/>
    <w:rsid w:val="00D5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C2A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47;&#1091;&#1073;&#1072;&#1082;&#1086;&#1074;&#1072;\&#1069;&#1082;&#1089;&#1087;&#1077;&#1088;&#1090;&#1080;&#1079;&#1072;%20&#1090;&#1072;&#1088;&#1080;&#1092;&#1086;&#1074;%20&#1050;&#1080;&#1084;&#1080;&#1083;&#1100;&#1090;&#1077;&#1081;\FAS.JKH.OPEN.INFO.REG(v1.1).xls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Company>адм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Guga_MP</cp:lastModifiedBy>
  <cp:revision>1</cp:revision>
  <dcterms:created xsi:type="dcterms:W3CDTF">2018-12-28T06:01:00Z</dcterms:created>
  <dcterms:modified xsi:type="dcterms:W3CDTF">2018-12-28T06:02:00Z</dcterms:modified>
</cp:coreProperties>
</file>